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B3" w:rsidRDefault="007D325A">
      <w:bookmarkStart w:id="0" w:name="_GoBack"/>
      <w:bookmarkEnd w:id="0"/>
      <w:r>
        <w:tab/>
      </w:r>
      <w:r>
        <w:tab/>
      </w:r>
      <w:r>
        <w:tab/>
      </w:r>
      <w:r>
        <w:tab/>
      </w:r>
      <w:r>
        <w:tab/>
      </w:r>
      <w:r>
        <w:tab/>
      </w:r>
      <w:r>
        <w:tab/>
      </w:r>
      <w:r>
        <w:tab/>
      </w:r>
      <w:r>
        <w:tab/>
      </w:r>
      <w:r>
        <w:tab/>
        <w:t xml:space="preserve">Datum: </w:t>
      </w:r>
      <w:r w:rsidR="00AA62C7">
        <w:t>20.04.17</w:t>
      </w:r>
    </w:p>
    <w:p w:rsidR="004E3DA4" w:rsidRDefault="004E3DA4" w:rsidP="004E3DA4">
      <w:pPr>
        <w:spacing w:after="0"/>
        <w:jc w:val="center"/>
        <w:rPr>
          <w:b/>
        </w:rPr>
      </w:pPr>
      <w:r>
        <w:rPr>
          <w:b/>
        </w:rPr>
        <w:t>Netzwerk HRS – Ausbilderinnen und Ausbilder</w:t>
      </w:r>
      <w:r w:rsidR="00C91726">
        <w:rPr>
          <w:b/>
        </w:rPr>
        <w:t xml:space="preserve"> Süd</w:t>
      </w:r>
      <w:r>
        <w:rPr>
          <w:b/>
        </w:rPr>
        <w:t>:</w:t>
      </w:r>
    </w:p>
    <w:p w:rsidR="006E7EAD" w:rsidRDefault="00C762B3" w:rsidP="006E7EAD">
      <w:pPr>
        <w:spacing w:after="0"/>
        <w:jc w:val="center"/>
        <w:rPr>
          <w:b/>
        </w:rPr>
      </w:pPr>
      <w:r w:rsidRPr="009C1607">
        <w:rPr>
          <w:b/>
        </w:rPr>
        <w:t>Ergebnisse zum</w:t>
      </w:r>
      <w:r w:rsidR="00676513">
        <w:rPr>
          <w:b/>
        </w:rPr>
        <w:t xml:space="preserve"> Arbeitstreffen mit den Ausbilderinnen und Ausbild</w:t>
      </w:r>
      <w:r w:rsidR="007D325A">
        <w:rPr>
          <w:b/>
        </w:rPr>
        <w:t xml:space="preserve">ern </w:t>
      </w:r>
    </w:p>
    <w:p w:rsidR="006E7EAD" w:rsidRDefault="00EA0413" w:rsidP="006E7EAD">
      <w:pPr>
        <w:jc w:val="center"/>
        <w:rPr>
          <w:b/>
        </w:rPr>
      </w:pPr>
      <w:r>
        <w:rPr>
          <w:b/>
        </w:rPr>
        <w:t>am 20.03.17</w:t>
      </w:r>
      <w:r w:rsidR="00AA62C7">
        <w:rPr>
          <w:b/>
        </w:rPr>
        <w:t xml:space="preserve"> in Frankfurt a. M. (Er</w:t>
      </w:r>
      <w:r w:rsidR="006E7EAD">
        <w:rPr>
          <w:b/>
        </w:rPr>
        <w:t>win-Stein-Haus)</w:t>
      </w:r>
    </w:p>
    <w:p w:rsidR="006E7EAD" w:rsidRPr="009C1607" w:rsidRDefault="006E7EAD" w:rsidP="00754DB3">
      <w:pPr>
        <w:spacing w:after="0"/>
        <w:jc w:val="center"/>
        <w:rPr>
          <w:b/>
        </w:rPr>
      </w:pPr>
    </w:p>
    <w:tbl>
      <w:tblPr>
        <w:tblStyle w:val="MittlereListe2-Akzent1"/>
        <w:tblW w:w="8755" w:type="dxa"/>
        <w:tblLook w:val="04A0" w:firstRow="1" w:lastRow="0" w:firstColumn="1" w:lastColumn="0" w:noHBand="0" w:noVBand="1"/>
      </w:tblPr>
      <w:tblGrid>
        <w:gridCol w:w="5353"/>
        <w:gridCol w:w="3402"/>
      </w:tblGrid>
      <w:tr w:rsidR="00C762B3" w:rsidTr="00BD6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3" w:type="dxa"/>
          </w:tcPr>
          <w:p w:rsidR="00C762B3" w:rsidRDefault="00C762B3" w:rsidP="00C762B3">
            <w:r>
              <w:t>Ergebnisse</w:t>
            </w:r>
          </w:p>
        </w:tc>
        <w:tc>
          <w:tcPr>
            <w:tcW w:w="3402" w:type="dxa"/>
          </w:tcPr>
          <w:p w:rsidR="00C762B3" w:rsidRDefault="00C762B3" w:rsidP="00C762B3">
            <w:pPr>
              <w:cnfStyle w:val="100000000000" w:firstRow="1" w:lastRow="0" w:firstColumn="0" w:lastColumn="0" w:oddVBand="0" w:evenVBand="0" w:oddHBand="0" w:evenHBand="0" w:firstRowFirstColumn="0" w:firstRowLastColumn="0" w:lastRowFirstColumn="0" w:lastRowLastColumn="0"/>
            </w:pPr>
            <w:r>
              <w:t>Arbeitsmöglichkeiten</w:t>
            </w:r>
          </w:p>
        </w:tc>
      </w:tr>
      <w:tr w:rsidR="00C762B3" w:rsidTr="00BD6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EA0413" w:rsidRPr="00C6705F" w:rsidRDefault="00C6705F" w:rsidP="00C762B3">
            <w:pPr>
              <w:rPr>
                <w:b/>
              </w:rPr>
            </w:pPr>
            <w:r>
              <w:rPr>
                <w:b/>
              </w:rPr>
              <w:t xml:space="preserve">1. </w:t>
            </w:r>
            <w:r w:rsidR="00EA0413" w:rsidRPr="00C6705F">
              <w:rPr>
                <w:b/>
              </w:rPr>
              <w:t xml:space="preserve">Rückmeldungen zu den </w:t>
            </w:r>
            <w:r w:rsidR="002436F2">
              <w:rPr>
                <w:b/>
              </w:rPr>
              <w:t>vorab versendeten</w:t>
            </w:r>
            <w:r w:rsidR="00EA0413" w:rsidRPr="00C6705F">
              <w:rPr>
                <w:b/>
              </w:rPr>
              <w:t xml:space="preserve"> Materialien</w:t>
            </w:r>
            <w:r w:rsidR="003E5B8C" w:rsidRPr="00C6705F">
              <w:rPr>
                <w:b/>
              </w:rPr>
              <w:t xml:space="preserve"> (u. a. Ausführungen </w:t>
            </w:r>
            <w:r w:rsidR="002436F2">
              <w:rPr>
                <w:b/>
              </w:rPr>
              <w:t>„</w:t>
            </w:r>
            <w:r w:rsidR="003E5B8C" w:rsidRPr="00C6705F">
              <w:rPr>
                <w:b/>
              </w:rPr>
              <w:t>Personale Kompetenz</w:t>
            </w:r>
            <w:r w:rsidR="002436F2">
              <w:rPr>
                <w:b/>
              </w:rPr>
              <w:t>“</w:t>
            </w:r>
            <w:r w:rsidR="003E5B8C" w:rsidRPr="00C6705F">
              <w:rPr>
                <w:b/>
              </w:rPr>
              <w:t>)</w:t>
            </w:r>
            <w:r w:rsidR="00EA0413" w:rsidRPr="00C6705F">
              <w:rPr>
                <w:b/>
              </w:rPr>
              <w:t>:</w:t>
            </w:r>
          </w:p>
          <w:p w:rsidR="003E5B8C" w:rsidRDefault="003E5B8C" w:rsidP="00C762B3"/>
          <w:p w:rsidR="00EA0413" w:rsidRDefault="003E5B8C" w:rsidP="00C762B3">
            <w:r>
              <w:t xml:space="preserve">- </w:t>
            </w:r>
            <w:r w:rsidRPr="003E5B8C">
              <w:t>Die Erläuterungen zur personalen Kompetenz greifen zu kurz, da sie den Bereich Wertvorstellung/Bindung an Werte, Wertebildung nur am Rande thematisieren.</w:t>
            </w:r>
          </w:p>
          <w:p w:rsidR="003E5B8C" w:rsidRDefault="003E5B8C" w:rsidP="00C762B3"/>
          <w:p w:rsidR="003E5B8C" w:rsidRPr="003E5B8C" w:rsidRDefault="003E5B8C" w:rsidP="003E5B8C">
            <w:r w:rsidRPr="003E5B8C">
              <w:t>Es ist sinnvoll, die relevanten Quellen zu benennen, am besten in den ergänzenden Materialien, dazu gibt es zwei Möglichkeiten:</w:t>
            </w:r>
          </w:p>
          <w:p w:rsidR="003E5B8C" w:rsidRDefault="003E5B8C" w:rsidP="003E5B8C">
            <w:pPr>
              <w:pStyle w:val="Listenabsatz"/>
              <w:numPr>
                <w:ilvl w:val="1"/>
                <w:numId w:val="3"/>
              </w:numPr>
            </w:pPr>
            <w:r>
              <w:t>Als Tipps zum Weiterlesen</w:t>
            </w:r>
          </w:p>
          <w:p w:rsidR="003E5B8C" w:rsidRDefault="003E5B8C" w:rsidP="003E5B8C">
            <w:pPr>
              <w:pStyle w:val="Listenabsatz"/>
              <w:numPr>
                <w:ilvl w:val="1"/>
                <w:numId w:val="3"/>
              </w:numPr>
            </w:pPr>
            <w:r>
              <w:t xml:space="preserve">Als Quellennachweis </w:t>
            </w:r>
          </w:p>
          <w:p w:rsidR="00EA0413" w:rsidRDefault="00EA0413" w:rsidP="00C762B3"/>
          <w:p w:rsidR="003E5B8C" w:rsidRPr="003E5B8C" w:rsidRDefault="003E5B8C" w:rsidP="003E5B8C">
            <w:r w:rsidRPr="003E5B8C">
              <w:t>Einleitungen sind schön und wichtig, werden aber in der Regel nicht gelesen. Deswegen sollten alle wichtigen Inhalte in den Kriterien selbst vorkommen.</w:t>
            </w:r>
          </w:p>
          <w:p w:rsidR="003E5B8C" w:rsidRDefault="003E5B8C" w:rsidP="003E5B8C"/>
          <w:p w:rsidR="003E5B8C" w:rsidRDefault="003E5B8C" w:rsidP="003E5B8C">
            <w:r w:rsidRPr="003E5B8C">
              <w:t>In den Handreichungen zu QB VI (Heft Lehren und Lernen) wird in VI.1.2 vorrangig eine deduktive Herangehensweise dargestellt. Das passt nicht zur Lernfelddidaktik der beruflichen Schulen und es sollte auch die induktive Herangehensweise berücksichtigt werden.</w:t>
            </w:r>
          </w:p>
          <w:p w:rsidR="003E5B8C" w:rsidRPr="003E5B8C" w:rsidRDefault="003E5B8C" w:rsidP="003E5B8C"/>
          <w:p w:rsidR="003E5B8C" w:rsidRPr="003E5B8C" w:rsidRDefault="003E5B8C" w:rsidP="003E5B8C">
            <w:r w:rsidRPr="003E5B8C">
              <w:t>Das Thema Hausaufgaben sollte aus dem HRS und den Begleitmaterialien herausgenommen werden.</w:t>
            </w:r>
          </w:p>
          <w:p w:rsidR="003E5B8C" w:rsidRDefault="003E5B8C" w:rsidP="003E5B8C"/>
          <w:p w:rsidR="003E5B8C" w:rsidRPr="003E5B8C" w:rsidRDefault="003E5B8C" w:rsidP="003E5B8C">
            <w:r w:rsidRPr="003E5B8C">
              <w:t>Transparenz und Feedback hängen eng zusammen und sollten in der gleichen Dimension dargestellt werden.</w:t>
            </w:r>
          </w:p>
          <w:p w:rsidR="003E5B8C" w:rsidRDefault="003E5B8C" w:rsidP="003E5B8C"/>
          <w:p w:rsidR="003E5B8C" w:rsidRPr="003E33D9" w:rsidRDefault="003E5B8C" w:rsidP="003E5B8C">
            <w:pPr>
              <w:rPr>
                <w:u w:val="single"/>
              </w:rPr>
            </w:pPr>
            <w:r w:rsidRPr="003E33D9">
              <w:rPr>
                <w:u w:val="single"/>
              </w:rPr>
              <w:t>Wunsch:</w:t>
            </w:r>
          </w:p>
          <w:p w:rsidR="003E5B8C" w:rsidRDefault="003E5B8C" w:rsidP="003E5B8C">
            <w:r>
              <w:t>Liste mit Dimensionen und Kriterien an alle (auch an die heute nicht Anwesenden) versenden!</w:t>
            </w:r>
          </w:p>
          <w:p w:rsidR="003E5B8C" w:rsidRDefault="003E5B8C" w:rsidP="003E5B8C"/>
          <w:p w:rsidR="00C6705F" w:rsidRDefault="00C6705F" w:rsidP="003E5B8C"/>
          <w:p w:rsidR="00C6705F" w:rsidRPr="00C6705F" w:rsidRDefault="00C6705F" w:rsidP="003E5B8C">
            <w:pPr>
              <w:rPr>
                <w:b/>
              </w:rPr>
            </w:pPr>
            <w:r w:rsidRPr="00C6705F">
              <w:rPr>
                <w:b/>
              </w:rPr>
              <w:t>2. Arbeitsphase zur Anbahnung eines eigenen Unterrichtsbeobachtungsbogens:</w:t>
            </w:r>
          </w:p>
          <w:p w:rsidR="00C6705F" w:rsidRDefault="00C6705F" w:rsidP="003E5B8C"/>
          <w:p w:rsidR="003E5B8C" w:rsidRDefault="003E5B8C" w:rsidP="003E5B8C">
            <w:r>
              <w:t>Auswertung der Flip-Charts:</w:t>
            </w:r>
          </w:p>
          <w:p w:rsidR="003E5B8C" w:rsidRPr="00431041" w:rsidRDefault="003E5B8C" w:rsidP="003E5B8C">
            <w:pPr>
              <w:rPr>
                <w:u w:val="single"/>
              </w:rPr>
            </w:pPr>
            <w:r w:rsidRPr="00431041">
              <w:rPr>
                <w:u w:val="single"/>
              </w:rPr>
              <w:t>VI.1</w:t>
            </w:r>
          </w:p>
          <w:p w:rsidR="003E5B8C" w:rsidRDefault="003E5B8C" w:rsidP="003E5B8C">
            <w:pPr>
              <w:pStyle w:val="Listenabsatz"/>
              <w:numPr>
                <w:ilvl w:val="0"/>
                <w:numId w:val="3"/>
              </w:numPr>
            </w:pPr>
            <w:r>
              <w:t xml:space="preserve">Aufzunehmen sind VI.1.3 (Indikatoren aus den vier Wirkungsbeschreibungen entwickeln S. 82, Z. B. Schülerinnen und Schüler entwickeln </w:t>
            </w:r>
            <w:r>
              <w:lastRenderedPageBreak/>
              <w:t>Interesse an Unterrichtsinhalten/Problemlösungen; Schülerinnen und Schüler stellen Fragen, stellen Bezüge zu eigenen Interessen Her (privat, beruflich) und VI.1.6 (S. 84)</w:t>
            </w:r>
          </w:p>
          <w:p w:rsidR="003E5B8C" w:rsidRDefault="003E5B8C" w:rsidP="003E5B8C">
            <w:pPr>
              <w:pStyle w:val="Listenabsatz"/>
              <w:numPr>
                <w:ilvl w:val="0"/>
                <w:numId w:val="3"/>
              </w:numPr>
            </w:pPr>
            <w:r>
              <w:t>VI.1.4 und VI.1.5 sind je nach Unterrichtssituation von Bedeutung</w:t>
            </w:r>
          </w:p>
          <w:p w:rsidR="003E5B8C" w:rsidRDefault="003E5B8C" w:rsidP="003E5B8C">
            <w:pPr>
              <w:pStyle w:val="Listenabsatz"/>
              <w:numPr>
                <w:ilvl w:val="0"/>
                <w:numId w:val="3"/>
              </w:numPr>
            </w:pPr>
            <w:r>
              <w:t>VI.1.1 und VI.1.2 sind eher in Reihen- oder Langzeitplanung abzubilden</w:t>
            </w:r>
          </w:p>
          <w:p w:rsidR="003E5B8C" w:rsidRDefault="003E5B8C" w:rsidP="003E5B8C">
            <w:pPr>
              <w:rPr>
                <w:u w:val="single"/>
              </w:rPr>
            </w:pPr>
            <w:r w:rsidRPr="00431041">
              <w:rPr>
                <w:u w:val="single"/>
              </w:rPr>
              <w:t>VI.2</w:t>
            </w:r>
          </w:p>
          <w:p w:rsidR="003E5B8C" w:rsidRDefault="003E5B8C" w:rsidP="003E5B8C">
            <w:pPr>
              <w:pStyle w:val="Listenabsatz"/>
              <w:numPr>
                <w:ilvl w:val="0"/>
                <w:numId w:val="3"/>
              </w:numPr>
            </w:pPr>
            <w:r>
              <w:t>VI.2.4 sollte aufgehen in VI.2.1</w:t>
            </w:r>
          </w:p>
          <w:p w:rsidR="003E5B8C" w:rsidRDefault="003E5B8C" w:rsidP="003E5B8C">
            <w:pPr>
              <w:pStyle w:val="Listenabsatz"/>
              <w:numPr>
                <w:ilvl w:val="0"/>
                <w:numId w:val="3"/>
              </w:numPr>
            </w:pPr>
            <w:r>
              <w:t>VI.2.7 ist eher in Reihen- oder Langzeitplanung abzubilden</w:t>
            </w:r>
          </w:p>
          <w:p w:rsidR="003E5B8C" w:rsidRDefault="003E5B8C" w:rsidP="003E5B8C">
            <w:pPr>
              <w:pStyle w:val="Listenabsatz"/>
              <w:numPr>
                <w:ilvl w:val="0"/>
                <w:numId w:val="3"/>
              </w:numPr>
            </w:pPr>
            <w:r>
              <w:t>VI.2.6 Lern- und Bewertungssituationen könnten in VI.2.2 übergehen</w:t>
            </w:r>
          </w:p>
          <w:p w:rsidR="003E5B8C" w:rsidRDefault="003E5B8C" w:rsidP="003E5B8C"/>
          <w:p w:rsidR="003E5B8C" w:rsidRDefault="003E5B8C" w:rsidP="003E5B8C">
            <w:pPr>
              <w:rPr>
                <w:u w:val="single"/>
              </w:rPr>
            </w:pPr>
            <w:r>
              <w:rPr>
                <w:u w:val="single"/>
              </w:rPr>
              <w:t>VI.3</w:t>
            </w:r>
          </w:p>
          <w:p w:rsidR="003E5B8C" w:rsidRDefault="003E5B8C" w:rsidP="003E5B8C">
            <w:pPr>
              <w:pStyle w:val="Listenabsatz"/>
              <w:numPr>
                <w:ilvl w:val="0"/>
                <w:numId w:val="3"/>
              </w:numPr>
            </w:pPr>
            <w:r>
              <w:t>VI.3.1, VI.3.2 und VI.3.6 könnten zusammengefasst werden: Die Lehrkräfte schaffen im Regelunterricht individualisierte und differenzierte Zugänge zum Erwerb von Kenntnissen und Kompetenzen auf der Basis von päd. Diagnostik und Förderplanung.</w:t>
            </w:r>
          </w:p>
          <w:p w:rsidR="003E5B8C" w:rsidRDefault="003E5B8C" w:rsidP="003E5B8C">
            <w:pPr>
              <w:pStyle w:val="Listenabsatz"/>
              <w:numPr>
                <w:ilvl w:val="0"/>
                <w:numId w:val="3"/>
              </w:numPr>
            </w:pPr>
            <w:r>
              <w:t xml:space="preserve">Dann wäre VI.3.2 neu: Die Lehrkräfte geben individuelle Rückmeldungen zur fachlichen und überfachlichen Kompetenzprogression. </w:t>
            </w:r>
          </w:p>
          <w:p w:rsidR="003E5B8C" w:rsidRDefault="003E5B8C" w:rsidP="003E5B8C">
            <w:pPr>
              <w:pStyle w:val="Listenabsatz"/>
              <w:numPr>
                <w:ilvl w:val="0"/>
                <w:numId w:val="3"/>
              </w:numPr>
            </w:pPr>
            <w:r>
              <w:t>VI.3.3 wäre dann Kooperatives Lernen</w:t>
            </w:r>
          </w:p>
          <w:p w:rsidR="003E5B8C" w:rsidRDefault="003E5B8C" w:rsidP="003E5B8C">
            <w:pPr>
              <w:pStyle w:val="Listenabsatz"/>
              <w:numPr>
                <w:ilvl w:val="0"/>
                <w:numId w:val="3"/>
              </w:numPr>
            </w:pPr>
            <w:r>
              <w:t>VI.3.4 wäre dann selbstständiges Lernen</w:t>
            </w:r>
          </w:p>
          <w:p w:rsidR="003E5B8C" w:rsidRDefault="003E5B8C" w:rsidP="003E5B8C">
            <w:pPr>
              <w:rPr>
                <w:u w:val="single"/>
              </w:rPr>
            </w:pPr>
          </w:p>
          <w:p w:rsidR="003E5B8C" w:rsidRDefault="003E5B8C" w:rsidP="003E5B8C">
            <w:pPr>
              <w:rPr>
                <w:u w:val="single"/>
              </w:rPr>
            </w:pPr>
            <w:r>
              <w:rPr>
                <w:u w:val="single"/>
              </w:rPr>
              <w:t>VI.4</w:t>
            </w:r>
          </w:p>
          <w:p w:rsidR="003E5B8C" w:rsidRDefault="003E5B8C" w:rsidP="003E5B8C">
            <w:pPr>
              <w:pStyle w:val="Listenabsatz"/>
              <w:numPr>
                <w:ilvl w:val="0"/>
                <w:numId w:val="3"/>
              </w:numPr>
            </w:pPr>
            <w:r>
              <w:t>Alle Kriterien sollten ausformuliert in den UBB, mit Skala, ergänzt durch die Option „nicht beobachtbar“.</w:t>
            </w:r>
          </w:p>
          <w:p w:rsidR="003E5B8C" w:rsidRDefault="003E5B8C" w:rsidP="003E5B8C">
            <w:pPr>
              <w:pStyle w:val="Listenabsatz"/>
              <w:numPr>
                <w:ilvl w:val="0"/>
                <w:numId w:val="3"/>
              </w:numPr>
            </w:pPr>
            <w:r>
              <w:t>Keine Anhaltspunkte in den UBB (Überfrachtung, Vollständigkeit wird suggeriert, Gefahr der Verengung</w:t>
            </w:r>
          </w:p>
          <w:p w:rsidR="003E5B8C" w:rsidRDefault="003E5B8C" w:rsidP="003E5B8C">
            <w:pPr>
              <w:pStyle w:val="Listenabsatz"/>
              <w:numPr>
                <w:ilvl w:val="0"/>
                <w:numId w:val="3"/>
              </w:numPr>
            </w:pPr>
            <w:r>
              <w:t>Anhaltspunkte als Unterstützung für das Gespräch im Anschluss</w:t>
            </w:r>
          </w:p>
          <w:p w:rsidR="003E5B8C" w:rsidRDefault="003E5B8C" w:rsidP="003E5B8C"/>
          <w:p w:rsidR="003E5B8C" w:rsidRDefault="003E5B8C" w:rsidP="003E5B8C">
            <w:pPr>
              <w:rPr>
                <w:u w:val="single"/>
              </w:rPr>
            </w:pPr>
            <w:r>
              <w:rPr>
                <w:u w:val="single"/>
              </w:rPr>
              <w:t>Allgemeine Hinweise zum UBB für Studienseminare</w:t>
            </w:r>
          </w:p>
          <w:p w:rsidR="003E5B8C" w:rsidRDefault="003E5B8C" w:rsidP="003E5B8C">
            <w:pPr>
              <w:pStyle w:val="Listenabsatz"/>
              <w:numPr>
                <w:ilvl w:val="0"/>
                <w:numId w:val="3"/>
              </w:numPr>
            </w:pPr>
            <w:r>
              <w:t>Handhabbarkeit im Blick behalten</w:t>
            </w:r>
          </w:p>
          <w:p w:rsidR="003E5B8C" w:rsidRDefault="003E5B8C" w:rsidP="003E5B8C">
            <w:pPr>
              <w:pStyle w:val="Listenabsatz"/>
              <w:numPr>
                <w:ilvl w:val="0"/>
                <w:numId w:val="3"/>
              </w:numPr>
            </w:pPr>
            <w:r>
              <w:t>Trennschärfe erhöhen</w:t>
            </w:r>
          </w:p>
          <w:p w:rsidR="003E5B8C" w:rsidRDefault="003E5B8C" w:rsidP="003E5B8C">
            <w:pPr>
              <w:pStyle w:val="Listenabsatz"/>
              <w:numPr>
                <w:ilvl w:val="0"/>
                <w:numId w:val="3"/>
              </w:numPr>
            </w:pPr>
            <w:r>
              <w:t>Items sollten vorgehalten werden und je nach Adressat hinzugegeben werden oder Zugriff ermöglichen (wiederum digital)</w:t>
            </w:r>
          </w:p>
          <w:p w:rsidR="003E5B8C" w:rsidRPr="003E33D9" w:rsidRDefault="003E5B8C" w:rsidP="003E5B8C">
            <w:pPr>
              <w:pStyle w:val="Listenabsatz"/>
              <w:numPr>
                <w:ilvl w:val="0"/>
                <w:numId w:val="3"/>
              </w:numPr>
            </w:pPr>
            <w:r>
              <w:t>Der Diskurs über die Items muss aber generell unter den Betroffenen geführt werden</w:t>
            </w:r>
          </w:p>
          <w:p w:rsidR="003E5B8C" w:rsidRDefault="003E5B8C" w:rsidP="003E5B8C">
            <w:pPr>
              <w:rPr>
                <w:u w:val="single"/>
              </w:rPr>
            </w:pPr>
          </w:p>
          <w:p w:rsidR="003E5B8C" w:rsidRPr="003E33D9" w:rsidRDefault="003E5B8C" w:rsidP="003E5B8C">
            <w:pPr>
              <w:rPr>
                <w:u w:val="single"/>
              </w:rPr>
            </w:pPr>
            <w:r w:rsidRPr="003E33D9">
              <w:rPr>
                <w:u w:val="single"/>
              </w:rPr>
              <w:t>Themenspeicher:</w:t>
            </w:r>
          </w:p>
          <w:p w:rsidR="00C762B3" w:rsidRDefault="003E5B8C" w:rsidP="00C762B3">
            <w:r>
              <w:t>Die Gruppe würde gerne das Thema Team-Teaching (insbesondere in inklusiven Arbeitszusammenhängen) konkret bearbeiten.</w:t>
            </w:r>
          </w:p>
        </w:tc>
        <w:tc>
          <w:tcPr>
            <w:tcW w:w="3402" w:type="dxa"/>
          </w:tcPr>
          <w:p w:rsidR="003E5B8C" w:rsidRDefault="003E5B8C" w:rsidP="003E5B8C">
            <w:pPr>
              <w:pStyle w:val="Listenabsatz"/>
              <w:ind w:left="34"/>
              <w:cnfStyle w:val="000000100000" w:firstRow="0" w:lastRow="0" w:firstColumn="0" w:lastColumn="0" w:oddVBand="0" w:evenVBand="0" w:oddHBand="1" w:evenHBand="0" w:firstRowFirstColumn="0" w:firstRowLastColumn="0" w:lastRowFirstColumn="0" w:lastRowLastColumn="0"/>
            </w:pPr>
          </w:p>
          <w:p w:rsidR="003E5B8C" w:rsidRDefault="003E5B8C" w:rsidP="003E5B8C">
            <w:pPr>
              <w:cnfStyle w:val="000000100000" w:firstRow="0" w:lastRow="0" w:firstColumn="0" w:lastColumn="0" w:oddVBand="0" w:evenVBand="0" w:oddHBand="1" w:evenHBand="0" w:firstRowFirstColumn="0" w:firstRowLastColumn="0" w:lastRowFirstColumn="0" w:lastRowLastColumn="0"/>
            </w:pPr>
          </w:p>
          <w:p w:rsidR="003E5B8C" w:rsidRDefault="003E5B8C" w:rsidP="003E5B8C">
            <w:pPr>
              <w:cnfStyle w:val="000000100000" w:firstRow="0" w:lastRow="0" w:firstColumn="0" w:lastColumn="0" w:oddVBand="0" w:evenVBand="0" w:oddHBand="1" w:evenHBand="0" w:firstRowFirstColumn="0" w:firstRowLastColumn="0" w:lastRowFirstColumn="0" w:lastRowLastColumn="0"/>
            </w:pPr>
          </w:p>
          <w:p w:rsidR="00C6705F" w:rsidRDefault="00C6705F" w:rsidP="003E5B8C">
            <w:pPr>
              <w:cnfStyle w:val="000000100000" w:firstRow="0" w:lastRow="0" w:firstColumn="0" w:lastColumn="0" w:oddVBand="0" w:evenVBand="0" w:oddHBand="1" w:evenHBand="0" w:firstRowFirstColumn="0" w:firstRowLastColumn="0" w:lastRowFirstColumn="0" w:lastRowLastColumn="0"/>
            </w:pPr>
          </w:p>
          <w:p w:rsidR="003E5B8C" w:rsidRPr="003E5B8C" w:rsidRDefault="003E5B8C" w:rsidP="003E5B8C">
            <w:pPr>
              <w:cnfStyle w:val="000000100000" w:firstRow="0" w:lastRow="0" w:firstColumn="0" w:lastColumn="0" w:oddVBand="0" w:evenVBand="0" w:oddHBand="1" w:evenHBand="0" w:firstRowFirstColumn="0" w:firstRowLastColumn="0" w:lastRowFirstColumn="0" w:lastRowLastColumn="0"/>
            </w:pPr>
            <w:r>
              <w:t>Thema Werte in „Personale Kompetenz“ ergänzen</w:t>
            </w:r>
          </w:p>
          <w:p w:rsidR="00BD6F5D" w:rsidRDefault="00BD6F5D" w:rsidP="00C762B3">
            <w:pPr>
              <w:cnfStyle w:val="000000100000" w:firstRow="0" w:lastRow="0" w:firstColumn="0" w:lastColumn="0" w:oddVBand="0" w:evenVBand="0" w:oddHBand="1" w:evenHBand="0" w:firstRowFirstColumn="0" w:firstRowLastColumn="0" w:lastRowFirstColumn="0" w:lastRowLastColumn="0"/>
            </w:pPr>
          </w:p>
          <w:p w:rsidR="00BD6F5D" w:rsidRDefault="00BD6F5D" w:rsidP="00C762B3">
            <w:pPr>
              <w:cnfStyle w:val="000000100000" w:firstRow="0" w:lastRow="0" w:firstColumn="0" w:lastColumn="0" w:oddVBand="0" w:evenVBand="0" w:oddHBand="1" w:evenHBand="0" w:firstRowFirstColumn="0" w:firstRowLastColumn="0" w:lastRowFirstColumn="0" w:lastRowLastColumn="0"/>
            </w:pPr>
          </w:p>
          <w:p w:rsidR="00BD6F5D" w:rsidRDefault="00BD6F5D" w:rsidP="00C762B3">
            <w:pPr>
              <w:cnfStyle w:val="000000100000" w:firstRow="0" w:lastRow="0" w:firstColumn="0" w:lastColumn="0" w:oddVBand="0" w:evenVBand="0" w:oddHBand="1" w:evenHBand="0" w:firstRowFirstColumn="0" w:firstRowLastColumn="0" w:lastRowFirstColumn="0" w:lastRowLastColumn="0"/>
            </w:pPr>
          </w:p>
          <w:p w:rsidR="00BD6F5D" w:rsidRDefault="003E5B8C" w:rsidP="00C762B3">
            <w:pPr>
              <w:cnfStyle w:val="000000100000" w:firstRow="0" w:lastRow="0" w:firstColumn="0" w:lastColumn="0" w:oddVBand="0" w:evenVBand="0" w:oddHBand="1" w:evenHBand="0" w:firstRowFirstColumn="0" w:firstRowLastColumn="0" w:lastRowFirstColumn="0" w:lastRowLastColumn="0"/>
            </w:pPr>
            <w:r>
              <w:t>Tipps zum Weiterlesen</w:t>
            </w:r>
          </w:p>
          <w:p w:rsidR="003E5B8C" w:rsidRDefault="003E5B8C" w:rsidP="00C762B3">
            <w:pPr>
              <w:cnfStyle w:val="000000100000" w:firstRow="0" w:lastRow="0" w:firstColumn="0" w:lastColumn="0" w:oddVBand="0" w:evenVBand="0" w:oddHBand="1" w:evenHBand="0" w:firstRowFirstColumn="0" w:firstRowLastColumn="0" w:lastRowFirstColumn="0" w:lastRowLastColumn="0"/>
            </w:pPr>
            <w:r>
              <w:t xml:space="preserve">Quellennachweise </w:t>
            </w:r>
          </w:p>
          <w:p w:rsidR="003E5B8C" w:rsidRDefault="002436F2" w:rsidP="00C762B3">
            <w:pPr>
              <w:cnfStyle w:val="000000100000" w:firstRow="0" w:lastRow="0" w:firstColumn="0" w:lastColumn="0" w:oddVBand="0" w:evenVBand="0" w:oddHBand="1" w:evenHBand="0" w:firstRowFirstColumn="0" w:firstRowLastColumn="0" w:lastRowFirstColumn="0" w:lastRowLastColumn="0"/>
            </w:pPr>
            <w:r>
              <w:t>a</w:t>
            </w:r>
            <w:r w:rsidR="003E5B8C">
              <w:t>uf Plattform ergänzen</w:t>
            </w:r>
          </w:p>
          <w:p w:rsidR="00BD6F5D" w:rsidRDefault="00BD6F5D" w:rsidP="00C762B3">
            <w:pPr>
              <w:cnfStyle w:val="000000100000" w:firstRow="0" w:lastRow="0" w:firstColumn="0" w:lastColumn="0" w:oddVBand="0" w:evenVBand="0" w:oddHBand="1" w:evenHBand="0" w:firstRowFirstColumn="0" w:firstRowLastColumn="0" w:lastRowFirstColumn="0" w:lastRowLastColumn="0"/>
            </w:pPr>
          </w:p>
          <w:p w:rsidR="00BD6F5D" w:rsidRDefault="00BD6F5D" w:rsidP="00C762B3">
            <w:pPr>
              <w:cnfStyle w:val="000000100000" w:firstRow="0" w:lastRow="0" w:firstColumn="0" w:lastColumn="0" w:oddVBand="0" w:evenVBand="0" w:oddHBand="1" w:evenHBand="0" w:firstRowFirstColumn="0" w:firstRowLastColumn="0" w:lastRowFirstColumn="0" w:lastRowLastColumn="0"/>
            </w:pPr>
          </w:p>
          <w:p w:rsidR="009C1607" w:rsidRDefault="009C1607"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r>
              <w:t>Zentrale Inhalte im Kriterium  behandeln</w:t>
            </w: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r>
              <w:t>QB VI entsprechend überprüfen</w:t>
            </w: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r>
              <w:t>Hausaufgaben im HRS?</w:t>
            </w: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762B3">
            <w:pPr>
              <w:cnfStyle w:val="000000100000" w:firstRow="0" w:lastRow="0" w:firstColumn="0" w:lastColumn="0" w:oddVBand="0" w:evenVBand="0" w:oddHBand="1" w:evenHBand="0" w:firstRowFirstColumn="0" w:firstRowLastColumn="0" w:lastRowFirstColumn="0" w:lastRowLastColumn="0"/>
            </w:pPr>
          </w:p>
          <w:p w:rsidR="003E5B8C" w:rsidRDefault="003E5B8C" w:rsidP="00C6705F">
            <w:pPr>
              <w:cnfStyle w:val="000000100000" w:firstRow="0" w:lastRow="0" w:firstColumn="0" w:lastColumn="0" w:oddVBand="0" w:evenVBand="0" w:oddHBand="1" w:evenHBand="0" w:firstRowFirstColumn="0" w:firstRowLastColumn="0" w:lastRowFirstColumn="0" w:lastRowLastColumn="0"/>
            </w:pPr>
            <w:r>
              <w:t xml:space="preserve">Transparenz und Feedback </w:t>
            </w:r>
            <w:r w:rsidR="00C6705F">
              <w:t>zusammenhängend verorten.</w:t>
            </w: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r>
              <w:rPr>
                <w:color w:val="FF0000"/>
              </w:rPr>
              <w:t>Übersichtsblatt mit Protokoll versenden</w:t>
            </w: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r w:rsidRPr="00C6705F">
              <w:t>Insgesamt ist es das Votum der Gruppe, eine Beschränkung auf wenige, zentrale Items zu erwägen</w:t>
            </w: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Pr="00C6705F" w:rsidRDefault="00C6705F" w:rsidP="00C6705F">
            <w:pPr>
              <w:cnfStyle w:val="000000100000" w:firstRow="0" w:lastRow="0" w:firstColumn="0" w:lastColumn="0" w:oddVBand="0" w:evenVBand="0" w:oddHBand="1" w:evenHBand="0" w:firstRowFirstColumn="0" w:firstRowLastColumn="0" w:lastRowFirstColumn="0" w:lastRowLastColumn="0"/>
            </w:pPr>
            <w:r>
              <w:lastRenderedPageBreak/>
              <w:t>VI.1.3 von besonderer Relevanz</w:t>
            </w: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C6705F" w:rsidRDefault="00C6705F" w:rsidP="00C6705F">
            <w:pPr>
              <w:cnfStyle w:val="000000100000" w:firstRow="0" w:lastRow="0" w:firstColumn="0" w:lastColumn="0" w:oddVBand="0" w:evenVBand="0" w:oddHBand="1" w:evenHBand="0" w:firstRowFirstColumn="0" w:firstRowLastColumn="0" w:lastRowFirstColumn="0" w:lastRowLastColumn="0"/>
            </w:pPr>
          </w:p>
          <w:p w:rsidR="002436F2" w:rsidRDefault="002436F2" w:rsidP="00C6705F">
            <w:pPr>
              <w:cnfStyle w:val="000000100000" w:firstRow="0" w:lastRow="0" w:firstColumn="0" w:lastColumn="0" w:oddVBand="0" w:evenVBand="0" w:oddHBand="1" w:evenHBand="0" w:firstRowFirstColumn="0" w:firstRowLastColumn="0" w:lastRowFirstColumn="0" w:lastRowLastColumn="0"/>
            </w:pPr>
          </w:p>
          <w:p w:rsidR="00C6705F" w:rsidRPr="00C6705F" w:rsidRDefault="00C6705F" w:rsidP="00C6705F">
            <w:pPr>
              <w:cnfStyle w:val="000000100000" w:firstRow="0" w:lastRow="0" w:firstColumn="0" w:lastColumn="0" w:oddVBand="0" w:evenVBand="0" w:oddHBand="1" w:evenHBand="0" w:firstRowFirstColumn="0" w:firstRowLastColumn="0" w:lastRowFirstColumn="0" w:lastRowLastColumn="0"/>
            </w:pPr>
            <w:r w:rsidRPr="00C6705F">
              <w:t xml:space="preserve">Aufzunehmen </w:t>
            </w:r>
            <w:r w:rsidR="002436F2">
              <w:t xml:space="preserve">in den UBB </w:t>
            </w:r>
            <w:r w:rsidRPr="00C6705F">
              <w:t>sind VI.2.1, VI.2.2, VI.2.5</w:t>
            </w: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FF0000"/>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auto"/>
              </w:rPr>
            </w:pPr>
            <w:r>
              <w:rPr>
                <w:color w:val="auto"/>
              </w:rPr>
              <w:t>Für die HRS-Fortschreibung:</w:t>
            </w: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auto"/>
              </w:rPr>
            </w:pPr>
            <w:r>
              <w:rPr>
                <w:color w:val="auto"/>
              </w:rPr>
              <w:t>Zusammenfassen von VI.3.1, VI.3.2 und VI.3.6 ?</w:t>
            </w: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auto"/>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auto"/>
              </w:rPr>
            </w:pPr>
          </w:p>
          <w:p w:rsidR="00C6705F" w:rsidRDefault="00C6705F" w:rsidP="00C6705F">
            <w:pPr>
              <w:cnfStyle w:val="000000100000" w:firstRow="0" w:lastRow="0" w:firstColumn="0" w:lastColumn="0" w:oddVBand="0" w:evenVBand="0" w:oddHBand="1" w:evenHBand="0" w:firstRowFirstColumn="0" w:firstRowLastColumn="0" w:lastRowFirstColumn="0" w:lastRowLastColumn="0"/>
              <w:rPr>
                <w:color w:val="auto"/>
              </w:rPr>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Default="00167520" w:rsidP="00167520">
            <w:pPr>
              <w:cnfStyle w:val="000000100000" w:firstRow="0" w:lastRow="0" w:firstColumn="0" w:lastColumn="0" w:oddVBand="0" w:evenVBand="0" w:oddHBand="1" w:evenHBand="0" w:firstRowFirstColumn="0" w:firstRowLastColumn="0" w:lastRowFirstColumn="0" w:lastRowLastColumn="0"/>
            </w:pPr>
          </w:p>
          <w:p w:rsidR="00167520" w:rsidRPr="00167520" w:rsidRDefault="00167520" w:rsidP="00167520">
            <w:pPr>
              <w:cnfStyle w:val="000000100000" w:firstRow="0" w:lastRow="0" w:firstColumn="0" w:lastColumn="0" w:oddVBand="0" w:evenVBand="0" w:oddHBand="1" w:evenHBand="0" w:firstRowFirstColumn="0" w:firstRowLastColumn="0" w:lastRowFirstColumn="0" w:lastRowLastColumn="0"/>
            </w:pPr>
            <w:r w:rsidRPr="00167520">
              <w:t>Flexibilität ist erwünscht, evtl. digital ermöglichen</w:t>
            </w:r>
          </w:p>
          <w:p w:rsidR="00C6705F" w:rsidRPr="00C6705F" w:rsidRDefault="00C6705F" w:rsidP="00C6705F">
            <w:pPr>
              <w:cnfStyle w:val="000000100000" w:firstRow="0" w:lastRow="0" w:firstColumn="0" w:lastColumn="0" w:oddVBand="0" w:evenVBand="0" w:oddHBand="1" w:evenHBand="0" w:firstRowFirstColumn="0" w:firstRowLastColumn="0" w:lastRowFirstColumn="0" w:lastRowLastColumn="0"/>
              <w:rPr>
                <w:color w:val="auto"/>
              </w:rPr>
            </w:pPr>
          </w:p>
        </w:tc>
      </w:tr>
    </w:tbl>
    <w:p w:rsidR="007D325A" w:rsidRDefault="007D325A" w:rsidP="00A20BB1"/>
    <w:p w:rsidR="00A20BB1" w:rsidRDefault="007D325A" w:rsidP="00C762B3">
      <w:r>
        <w:t xml:space="preserve">Zusammenstellung: </w:t>
      </w:r>
      <w:r w:rsidR="00167520">
        <w:t>Frank Holzamer, Dr. Claudia Lack, Brigit Menzel</w:t>
      </w:r>
      <w:r>
        <w:t xml:space="preserve"> </w:t>
      </w:r>
    </w:p>
    <w:sectPr w:rsidR="00A20B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0A20"/>
    <w:multiLevelType w:val="hybridMultilevel"/>
    <w:tmpl w:val="2654CB8E"/>
    <w:lvl w:ilvl="0" w:tplc="09461A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1479E4"/>
    <w:multiLevelType w:val="hybridMultilevel"/>
    <w:tmpl w:val="F008F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710E06"/>
    <w:multiLevelType w:val="hybridMultilevel"/>
    <w:tmpl w:val="AA3AF16E"/>
    <w:lvl w:ilvl="0" w:tplc="4110943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2B"/>
    <w:rsid w:val="00167520"/>
    <w:rsid w:val="002436F2"/>
    <w:rsid w:val="0024542B"/>
    <w:rsid w:val="003C32F0"/>
    <w:rsid w:val="003E5B8C"/>
    <w:rsid w:val="004E3DA4"/>
    <w:rsid w:val="00585918"/>
    <w:rsid w:val="00676513"/>
    <w:rsid w:val="006E7EAD"/>
    <w:rsid w:val="00704EE3"/>
    <w:rsid w:val="00754DB3"/>
    <w:rsid w:val="007D325A"/>
    <w:rsid w:val="009C1607"/>
    <w:rsid w:val="00A20BB1"/>
    <w:rsid w:val="00AA62C7"/>
    <w:rsid w:val="00AE120B"/>
    <w:rsid w:val="00BD6F5D"/>
    <w:rsid w:val="00C6705F"/>
    <w:rsid w:val="00C762B3"/>
    <w:rsid w:val="00C91726"/>
    <w:rsid w:val="00CC788E"/>
    <w:rsid w:val="00D0405B"/>
    <w:rsid w:val="00D06801"/>
    <w:rsid w:val="00D76E26"/>
    <w:rsid w:val="00EA0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2B3"/>
    <w:pPr>
      <w:ind w:left="720"/>
      <w:contextualSpacing/>
    </w:pPr>
  </w:style>
  <w:style w:type="table" w:styleId="Tabellenraster">
    <w:name w:val="Table Grid"/>
    <w:basedOn w:val="NormaleTabelle"/>
    <w:uiPriority w:val="59"/>
    <w:rsid w:val="00C7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C762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2B3"/>
    <w:pPr>
      <w:ind w:left="720"/>
      <w:contextualSpacing/>
    </w:pPr>
  </w:style>
  <w:style w:type="table" w:styleId="Tabellenraster">
    <w:name w:val="Table Grid"/>
    <w:basedOn w:val="NormaleTabelle"/>
    <w:uiPriority w:val="59"/>
    <w:rsid w:val="00C7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C762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EFEFF9F7.dotm</Template>
  <TotalTime>0</TotalTime>
  <Pages>2</Pages>
  <Words>545</Words>
  <Characters>3439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Holzamer, Frank (LA WI)</dc:creator>
  <cp:lastModifiedBy>Menzel, Birgit (LSA FFM)</cp:lastModifiedBy>
  <cp:revision>2</cp:revision>
  <dcterms:created xsi:type="dcterms:W3CDTF">2017-04-20T13:15:00Z</dcterms:created>
  <dcterms:modified xsi:type="dcterms:W3CDTF">2017-04-20T13:15:00Z</dcterms:modified>
</cp:coreProperties>
</file>